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" w:eastAsia="仿宋_GB2312"/>
          <w:bCs/>
          <w:kern w:val="0"/>
          <w:sz w:val="28"/>
          <w:szCs w:val="28"/>
        </w:rPr>
      </w:pPr>
      <w:r>
        <w:rPr>
          <w:rFonts w:hint="eastAsia" w:ascii="仿宋_GB2312" w:hAnsi="仿宋" w:eastAsia="仿宋_GB2312"/>
          <w:bCs/>
          <w:kern w:val="0"/>
          <w:sz w:val="28"/>
          <w:szCs w:val="28"/>
        </w:rPr>
        <w:t>附件1</w:t>
      </w:r>
    </w:p>
    <w:p>
      <w:pPr>
        <w:jc w:val="center"/>
        <w:rPr>
          <w:rFonts w:eastAsia="方正小标宋简体"/>
          <w:color w:val="000000"/>
          <w:kern w:val="0"/>
          <w:sz w:val="36"/>
          <w:szCs w:val="32"/>
        </w:rPr>
      </w:pPr>
      <w:r>
        <w:rPr>
          <w:rFonts w:hint="eastAsia" w:eastAsia="方正小标宋简体"/>
          <w:color w:val="000000"/>
          <w:kern w:val="0"/>
          <w:sz w:val="36"/>
          <w:szCs w:val="32"/>
        </w:rPr>
        <w:t>西安医学院第三届微课教学比赛</w:t>
      </w:r>
      <w:r>
        <w:rPr>
          <w:rFonts w:eastAsia="方正小标宋简体"/>
          <w:color w:val="000000"/>
          <w:kern w:val="0"/>
          <w:sz w:val="36"/>
          <w:szCs w:val="32"/>
        </w:rPr>
        <w:fldChar w:fldCharType="begin"/>
      </w:r>
      <w:r>
        <w:rPr>
          <w:rFonts w:eastAsia="方正小标宋简体"/>
          <w:color w:val="000000"/>
          <w:kern w:val="0"/>
          <w:sz w:val="36"/>
          <w:szCs w:val="32"/>
        </w:rPr>
        <w:instrText xml:space="preserve"> HYPERLINK "http://www.snedu.gov.cn/file/upload/201412/16/11-28-30-32-10.doc" </w:instrText>
      </w:r>
      <w:r>
        <w:rPr>
          <w:rFonts w:eastAsia="方正小标宋简体"/>
          <w:color w:val="000000"/>
          <w:kern w:val="0"/>
          <w:sz w:val="36"/>
          <w:szCs w:val="32"/>
        </w:rPr>
        <w:fldChar w:fldCharType="separate"/>
      </w:r>
      <w:r>
        <w:rPr>
          <w:rFonts w:hint="eastAsia" w:eastAsia="方正小标宋简体"/>
          <w:color w:val="000000"/>
          <w:kern w:val="0"/>
          <w:sz w:val="36"/>
          <w:szCs w:val="32"/>
        </w:rPr>
        <w:t>评审规则</w:t>
      </w:r>
      <w:r>
        <w:rPr>
          <w:rFonts w:eastAsia="方正小标宋简体"/>
          <w:color w:val="000000"/>
          <w:kern w:val="0"/>
          <w:sz w:val="36"/>
          <w:szCs w:val="32"/>
        </w:rPr>
        <w:fldChar w:fldCharType="end"/>
      </w:r>
    </w:p>
    <w:tbl>
      <w:tblPr>
        <w:tblStyle w:val="3"/>
        <w:tblW w:w="9991" w:type="dxa"/>
        <w:tblInd w:w="-8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665"/>
        <w:gridCol w:w="93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94" w:hRule="atLeast"/>
        </w:trPr>
        <w:tc>
          <w:tcPr>
            <w:tcW w:w="66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作品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规范</w:t>
            </w:r>
          </w:p>
          <w:p>
            <w:pPr>
              <w:spacing w:line="60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10分</w:t>
            </w:r>
          </w:p>
        </w:tc>
        <w:tc>
          <w:tcPr>
            <w:tcW w:w="93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一、材料完整（5分）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包含微课视频，教学方案设计、课件等。如在微课视频中使用到的习题及总结等辅助资料，可以单个文件方式上传相关辅助资料。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532" w:hRule="atLeast"/>
        </w:trPr>
        <w:tc>
          <w:tcPr>
            <w:tcW w:w="6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二、技术规范（5分）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1．微课视频：时长5-15分钟，鼓励简明易懂、短小精趣的微课作品；视频图像清晰稳定、构图合理、声音清楚，主要教学内容有字幕提示等；视频片头应显示作品标题、作者、单位。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2．多媒体教学课件：配合视频讲授使用的主要教学课件为PowerPoint格式，需单独文件提交；其他资料须符合网站上传要求。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3．教学方案设计表内应注明讲课内容所属学科、专业、课程及适用对象等信息。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40" w:hRule="atLeast"/>
        </w:trPr>
        <w:tc>
          <w:tcPr>
            <w:tcW w:w="66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教学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安排</w:t>
            </w:r>
          </w:p>
          <w:p>
            <w:pPr>
              <w:spacing w:line="60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40分</w:t>
            </w:r>
          </w:p>
        </w:tc>
        <w:tc>
          <w:tcPr>
            <w:tcW w:w="9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一、选题价值（10分）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选取教学环节中某一知识点、专题、实验活动作为选题，针对教学中的常见、典型、有代表性的问题或内容进行设计，类型包括但不限于：教授类、解题类、答疑类、实验类、活动类。选题尽量“小而精”，应针对教学过程中的重点、难点问题，具备独立性、示范性、代表性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561" w:hRule="atLeast"/>
        </w:trPr>
        <w:tc>
          <w:tcPr>
            <w:tcW w:w="66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二、教学设计与组织（15分）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1．教学方案：围绕选题设计，突出重点，注重实效；教学目的明确，教学思路清晰，注重学生全面发展。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2．教学内容：严谨充实，无科学性、政策性错误，能理论联系实际，反映社会和学科发展。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3．教学组织与编排：要符合学生的认知规律；教学过程主线清晰、重点突出，逻辑性强，明了易懂；注重突出学生的主体性以及教与学活动的有机结合。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56" w:hRule="atLeast"/>
        </w:trPr>
        <w:tc>
          <w:tcPr>
            <w:tcW w:w="66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三、教学方法与手段（15分）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教学策略选择正确，注重调动学生的学习积极性和创造性思维能力；能根据教学需求选用灵活适当的教学方法；信息技术手段运用合理，正确选择使用各种教学媒体，教学效果好。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89" w:hRule="atLeast"/>
        </w:trPr>
        <w:tc>
          <w:tcPr>
            <w:tcW w:w="66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教学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效果</w:t>
            </w:r>
          </w:p>
          <w:p>
            <w:pPr>
              <w:spacing w:line="60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50分</w:t>
            </w:r>
          </w:p>
        </w:tc>
        <w:tc>
          <w:tcPr>
            <w:tcW w:w="9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一、目标达成( 15分)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完成设定的教学目标，有效解决实际教学问题，促进学生创造性思维能力的提高。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47" w:hRule="atLeast"/>
        </w:trPr>
        <w:tc>
          <w:tcPr>
            <w:tcW w:w="66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二、教学特色( 20分)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教学形式新颖，教学过程深入浅出，形象生动，趣味性和启发性强，教学氛围的营造有利于提升学生学习的积极主动性。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28" w:hRule="atLeast"/>
        </w:trPr>
        <w:tc>
          <w:tcPr>
            <w:tcW w:w="66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32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三、教学规范（ 15分）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教学语言规范、清晰，富有感染力；教学逻辑严谨，能够较好运用各种现代教育技术手段，相关知识点、教学内容等讲解清楚。如教师出镜，则需仪表得当，教态自然，能展现良好的教学风貌和个人魅力。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C3893"/>
    <w:rsid w:val="4DCC38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2017-12-08T03:25:00Z</dcterms:created>
  <dc:creator>Administrator</dc:creator>
  <cp:lastModifiedBy>Administrator</cp:lastModifiedBy>
  <dcterms:modified xsi:type="dcterms:W3CDTF">2017-12-08T03:26:47Z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